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30" w:rsidRPr="009835B5" w:rsidRDefault="009835B5" w:rsidP="00197030">
      <w:pPr>
        <w:spacing w:after="912" w:line="180" w:lineRule="exact"/>
        <w:ind w:left="40"/>
        <w:rPr>
          <w:lang w:val="ro-RO"/>
        </w:rPr>
      </w:pPr>
      <w:r>
        <w:rPr>
          <w:rStyle w:val="Bodytext30"/>
          <w:lang w:val="ro-RO"/>
        </w:rPr>
        <w:t xml:space="preserve">Avocații pentru Drepturile Omului–Instruirea în </w:t>
      </w:r>
      <w:r w:rsidR="00197030" w:rsidRPr="009835B5">
        <w:rPr>
          <w:rStyle w:val="Bodytext30"/>
          <w:lang w:val="ro-RO"/>
        </w:rPr>
        <w:t>Moldova</w:t>
      </w:r>
      <w:r>
        <w:rPr>
          <w:rStyle w:val="Bodytext30"/>
          <w:lang w:val="ro-RO"/>
        </w:rPr>
        <w:t>,</w:t>
      </w:r>
      <w:r w:rsidR="00197030" w:rsidRPr="009835B5">
        <w:rPr>
          <w:rStyle w:val="Bodytext30"/>
          <w:lang w:val="ro-RO"/>
        </w:rPr>
        <w:t xml:space="preserve"> 2014 - Document</w:t>
      </w:r>
      <w:r>
        <w:rPr>
          <w:rStyle w:val="Bodytext30"/>
          <w:lang w:val="ro-RO"/>
        </w:rPr>
        <w:t>ul</w:t>
      </w:r>
      <w:r w:rsidR="00197030" w:rsidRPr="009835B5">
        <w:rPr>
          <w:rStyle w:val="Bodytext30"/>
          <w:lang w:val="ro-RO"/>
        </w:rPr>
        <w:t xml:space="preserve"> #27</w:t>
      </w:r>
    </w:p>
    <w:p w:rsidR="008A386F" w:rsidRPr="000361CB" w:rsidRDefault="008A386F" w:rsidP="008A386F">
      <w:pPr>
        <w:spacing w:after="419"/>
        <w:ind w:left="620" w:right="680"/>
        <w:rPr>
          <w:b/>
          <w:lang w:val="ro-RO"/>
        </w:rPr>
      </w:pPr>
      <w:r w:rsidRPr="000361CB">
        <w:rPr>
          <w:b/>
          <w:lang w:val="ro-RO"/>
        </w:rPr>
        <w:t>Anexa A. Instrumentele procurorului menite s</w:t>
      </w:r>
      <w:r w:rsidRPr="000361CB">
        <w:rPr>
          <w:rFonts w:asciiTheme="minorHAnsi" w:hAnsiTheme="minorHAnsi"/>
          <w:b/>
          <w:lang w:val="ro-RO"/>
        </w:rPr>
        <w:t>ă</w:t>
      </w:r>
      <w:r w:rsidRPr="000361CB">
        <w:rPr>
          <w:b/>
          <w:lang w:val="ro-RO"/>
        </w:rPr>
        <w:t xml:space="preserve"> asigure securitatea economică a victimei </w:t>
      </w:r>
    </w:p>
    <w:p w:rsidR="008A386F" w:rsidRPr="000361CB" w:rsidRDefault="008A386F" w:rsidP="008A386F">
      <w:pPr>
        <w:spacing w:after="419"/>
        <w:ind w:left="620" w:right="680"/>
        <w:rPr>
          <w:b/>
          <w:lang w:val="ro-RO"/>
        </w:rPr>
      </w:pPr>
      <w:bookmarkStart w:id="0" w:name="_GoBack"/>
      <w:r w:rsidRPr="000361CB">
        <w:rPr>
          <w:b/>
          <w:lang w:val="ro-RO"/>
        </w:rPr>
        <w:t xml:space="preserve">Ghidul de buzunar al procurorului </w:t>
      </w:r>
      <w:r>
        <w:rPr>
          <w:b/>
          <w:lang w:val="ro-RO"/>
        </w:rPr>
        <w:t>în materie de</w:t>
      </w:r>
      <w:r w:rsidRPr="000361CB">
        <w:rPr>
          <w:b/>
          <w:lang w:val="ro-RO"/>
        </w:rPr>
        <w:t xml:space="preserve"> Securitate Economică</w:t>
      </w:r>
    </w:p>
    <w:bookmarkEnd w:id="0"/>
    <w:p w:rsidR="00197030" w:rsidRDefault="008A386F" w:rsidP="008A386F">
      <w:pPr>
        <w:pBdr>
          <w:bottom w:val="single" w:sz="12" w:space="1" w:color="auto"/>
        </w:pBdr>
        <w:spacing w:after="419"/>
        <w:ind w:left="620" w:right="680"/>
        <w:rPr>
          <w:rStyle w:val="Hyperlink"/>
          <w:lang w:val="ro-RO"/>
        </w:rPr>
      </w:pPr>
      <w:r w:rsidRPr="000361CB">
        <w:rPr>
          <w:lang w:val="ro-RO"/>
        </w:rPr>
        <w:t xml:space="preserve">Ghidul de buzunar al procurorului în materie de Securitate Economicăeste instrumentul perfect pentru orice </w:t>
      </w:r>
      <w:r w:rsidRPr="000361CB">
        <w:rPr>
          <w:b/>
          <w:lang w:val="ro-RO"/>
        </w:rPr>
        <w:t>notebook cu dosare sau procese</w:t>
      </w:r>
      <w:r w:rsidRPr="000361CB">
        <w:rPr>
          <w:lang w:val="ro-RO"/>
        </w:rPr>
        <w:t xml:space="preserve"> de urmărire penală. </w:t>
      </w:r>
      <w:r>
        <w:rPr>
          <w:lang w:val="ro-RO"/>
        </w:rPr>
        <w:t>Adăugător la faptul că se</w:t>
      </w:r>
      <w:r w:rsidRPr="000361CB">
        <w:rPr>
          <w:lang w:val="ro-RO"/>
        </w:rPr>
        <w:t xml:space="preserve"> sublini</w:t>
      </w:r>
      <w:r>
        <w:rPr>
          <w:lang w:val="ro-RO"/>
        </w:rPr>
        <w:t>ază</w:t>
      </w:r>
      <w:r w:rsidRPr="000361CB">
        <w:rPr>
          <w:lang w:val="ro-RO"/>
        </w:rPr>
        <w:t xml:space="preserve"> importanta pentru procurori de a </w:t>
      </w:r>
      <w:r>
        <w:rPr>
          <w:lang w:val="ro-RO"/>
        </w:rPr>
        <w:t xml:space="preserve">lua în </w:t>
      </w:r>
      <w:r w:rsidRPr="000361CB">
        <w:rPr>
          <w:lang w:val="ro-RO"/>
        </w:rPr>
        <w:t>considera</w:t>
      </w:r>
      <w:r>
        <w:rPr>
          <w:lang w:val="ro-RO"/>
        </w:rPr>
        <w:t>re</w:t>
      </w:r>
      <w:r w:rsidRPr="000361CB">
        <w:rPr>
          <w:lang w:val="ro-RO"/>
        </w:rPr>
        <w:t xml:space="preserve"> securitate</w:t>
      </w:r>
      <w:r>
        <w:rPr>
          <w:lang w:val="ro-RO"/>
        </w:rPr>
        <w:t>a</w:t>
      </w:r>
      <w:r w:rsidRPr="000361CB">
        <w:rPr>
          <w:lang w:val="ro-RO"/>
        </w:rPr>
        <w:t xml:space="preserve"> economică</w:t>
      </w:r>
      <w:r>
        <w:rPr>
          <w:lang w:val="ro-RO"/>
        </w:rPr>
        <w:t xml:space="preserve"> a </w:t>
      </w:r>
      <w:r w:rsidRPr="000361CB">
        <w:rPr>
          <w:lang w:val="ro-RO"/>
        </w:rPr>
        <w:t>victim</w:t>
      </w:r>
      <w:r>
        <w:rPr>
          <w:lang w:val="ro-RO"/>
        </w:rPr>
        <w:t>ei</w:t>
      </w:r>
      <w:r w:rsidRPr="000361CB">
        <w:rPr>
          <w:lang w:val="ro-RO"/>
        </w:rPr>
        <w:t xml:space="preserve">, broșura </w:t>
      </w:r>
      <w:r>
        <w:rPr>
          <w:lang w:val="ro-RO"/>
        </w:rPr>
        <w:t xml:space="preserve">de dimensiuni </w:t>
      </w:r>
      <w:r w:rsidRPr="000361CB">
        <w:rPr>
          <w:lang w:val="ro-RO"/>
        </w:rPr>
        <w:t>mic</w:t>
      </w:r>
      <w:r>
        <w:rPr>
          <w:lang w:val="ro-RO"/>
        </w:rPr>
        <w:t>i</w:t>
      </w:r>
      <w:r w:rsidRPr="000361CB">
        <w:rPr>
          <w:lang w:val="ro-RO"/>
        </w:rPr>
        <w:t xml:space="preserve"> și ușo</w:t>
      </w:r>
      <w:r>
        <w:rPr>
          <w:lang w:val="ro-RO"/>
        </w:rPr>
        <w:t>a</w:t>
      </w:r>
      <w:r w:rsidRPr="000361CB">
        <w:rPr>
          <w:lang w:val="ro-RO"/>
        </w:rPr>
        <w:t>r</w:t>
      </w:r>
      <w:r>
        <w:rPr>
          <w:lang w:val="ro-RO"/>
        </w:rPr>
        <w:t>ă</w:t>
      </w:r>
      <w:r w:rsidRPr="000361CB">
        <w:rPr>
          <w:lang w:val="ro-RO"/>
        </w:rPr>
        <w:t xml:space="preserve"> de utilizat</w:t>
      </w:r>
      <w:r>
        <w:rPr>
          <w:lang w:val="ro-RO"/>
        </w:rPr>
        <w:t>,</w:t>
      </w:r>
      <w:r w:rsidRPr="000361CB">
        <w:rPr>
          <w:lang w:val="ro-RO"/>
        </w:rPr>
        <w:t xml:space="preserve"> conține liste de verificare </w:t>
      </w:r>
      <w:r>
        <w:rPr>
          <w:lang w:val="ro-RO"/>
        </w:rPr>
        <w:t>cuinformații</w:t>
      </w:r>
      <w:r w:rsidRPr="000361CB">
        <w:rPr>
          <w:lang w:val="ro-RO"/>
        </w:rPr>
        <w:t xml:space="preserve"> economice </w:t>
      </w:r>
      <w:r>
        <w:rPr>
          <w:lang w:val="ro-RO"/>
        </w:rPr>
        <w:t xml:space="preserve">și date </w:t>
      </w:r>
      <w:r w:rsidRPr="000361CB">
        <w:rPr>
          <w:lang w:val="ro-RO"/>
        </w:rPr>
        <w:t xml:space="preserve">legate de infracțiunile economice. Lista de infracțiuni include exemple de costuri suportate de victimă, care pot fi eligibile pentru restituire sau </w:t>
      </w:r>
      <w:r>
        <w:rPr>
          <w:lang w:val="ro-RO"/>
        </w:rPr>
        <w:t xml:space="preserve">pentru </w:t>
      </w:r>
      <w:r w:rsidRPr="000361CB">
        <w:rPr>
          <w:lang w:val="ro-RO"/>
        </w:rPr>
        <w:t xml:space="preserve">CVC. Acest instrument nu este menit să fie o </w:t>
      </w:r>
      <w:r>
        <w:rPr>
          <w:lang w:val="ro-RO"/>
        </w:rPr>
        <w:t>un tabel</w:t>
      </w:r>
      <w:r w:rsidRPr="000361CB">
        <w:rPr>
          <w:lang w:val="ro-RO"/>
        </w:rPr>
        <w:t xml:space="preserve"> exhaustiv pentru procurori, specialiști </w:t>
      </w:r>
      <w:r>
        <w:rPr>
          <w:lang w:val="ro-RO"/>
        </w:rPr>
        <w:t xml:space="preserve">în chestiuni ce țin de </w:t>
      </w:r>
      <w:r w:rsidRPr="000361CB">
        <w:rPr>
          <w:lang w:val="ro-RO"/>
        </w:rPr>
        <w:t>martor</w:t>
      </w:r>
      <w:r>
        <w:rPr>
          <w:lang w:val="ro-RO"/>
        </w:rPr>
        <w:t xml:space="preserve">ii </w:t>
      </w:r>
      <w:r w:rsidRPr="000361CB">
        <w:rPr>
          <w:lang w:val="ro-RO"/>
        </w:rPr>
        <w:t>victim</w:t>
      </w:r>
      <w:r>
        <w:rPr>
          <w:lang w:val="ro-RO"/>
        </w:rPr>
        <w:t>ei.</w:t>
      </w:r>
      <w:r w:rsidRPr="000361CB">
        <w:rPr>
          <w:lang w:val="ro-RO"/>
        </w:rPr>
        <w:t xml:space="preserve"> sau personalulde admisie, ci mai degrabă </w:t>
      </w:r>
      <w:r>
        <w:rPr>
          <w:lang w:val="ro-RO"/>
        </w:rPr>
        <w:t xml:space="preserve">este menit să servească </w:t>
      </w:r>
      <w:r w:rsidRPr="000361CB">
        <w:rPr>
          <w:lang w:val="ro-RO"/>
        </w:rPr>
        <w:t>pentru a ilustra efecte</w:t>
      </w:r>
      <w:r>
        <w:rPr>
          <w:lang w:val="ro-RO"/>
        </w:rPr>
        <w:t>le</w:t>
      </w:r>
      <w:r w:rsidRPr="000361CB">
        <w:rPr>
          <w:lang w:val="ro-RO"/>
        </w:rPr>
        <w:t xml:space="preserve"> economice</w:t>
      </w:r>
      <w:r>
        <w:rPr>
          <w:lang w:val="ro-RO"/>
        </w:rPr>
        <w:t xml:space="preserve"> substanțiale,</w:t>
      </w:r>
      <w:r w:rsidRPr="000361CB">
        <w:rPr>
          <w:lang w:val="ro-RO"/>
        </w:rPr>
        <w:t xml:space="preserve"> care pot exista</w:t>
      </w:r>
      <w:r>
        <w:rPr>
          <w:lang w:val="ro-RO"/>
        </w:rPr>
        <w:t>,</w:t>
      </w:r>
      <w:r w:rsidRPr="000361CB">
        <w:rPr>
          <w:lang w:val="ro-RO"/>
        </w:rPr>
        <w:t xml:space="preserve"> și </w:t>
      </w:r>
      <w:r>
        <w:rPr>
          <w:lang w:val="ro-RO"/>
        </w:rPr>
        <w:t>să</w:t>
      </w:r>
      <w:r w:rsidRPr="000361CB">
        <w:rPr>
          <w:lang w:val="ro-RO"/>
        </w:rPr>
        <w:t xml:space="preserve"> încuraj</w:t>
      </w:r>
      <w:r>
        <w:rPr>
          <w:lang w:val="ro-RO"/>
        </w:rPr>
        <w:t>eze</w:t>
      </w:r>
      <w:r w:rsidRPr="000361CB">
        <w:rPr>
          <w:lang w:val="ro-RO"/>
        </w:rPr>
        <w:t xml:space="preserve"> personalul de urmărire penală </w:t>
      </w:r>
      <w:r>
        <w:rPr>
          <w:lang w:val="ro-RO"/>
        </w:rPr>
        <w:t>să</w:t>
      </w:r>
      <w:r w:rsidRPr="000361CB">
        <w:rPr>
          <w:lang w:val="ro-RO"/>
        </w:rPr>
        <w:t xml:space="preserve"> gând</w:t>
      </w:r>
      <w:r>
        <w:rPr>
          <w:lang w:val="ro-RO"/>
        </w:rPr>
        <w:t>ească</w:t>
      </w:r>
      <w:r w:rsidRPr="000361CB">
        <w:rPr>
          <w:lang w:val="ro-RO"/>
        </w:rPr>
        <w:t xml:space="preserve"> creativ despre costuri</w:t>
      </w:r>
      <w:r>
        <w:rPr>
          <w:lang w:val="ro-RO"/>
        </w:rPr>
        <w:t>le de acest gen</w:t>
      </w:r>
      <w:r w:rsidRPr="000361CB">
        <w:rPr>
          <w:lang w:val="ro-RO"/>
        </w:rPr>
        <w:t xml:space="preserve">. Pentru a accesa </w:t>
      </w:r>
      <w:r>
        <w:rPr>
          <w:lang w:val="ro-RO"/>
        </w:rPr>
        <w:t xml:space="preserve">versiunea integrală a </w:t>
      </w:r>
      <w:r w:rsidRPr="000361CB">
        <w:rPr>
          <w:lang w:val="ro-RO"/>
        </w:rPr>
        <w:t>Ghidul</w:t>
      </w:r>
      <w:r>
        <w:rPr>
          <w:lang w:val="ro-RO"/>
        </w:rPr>
        <w:t>ui de buzunar al Procurorului</w:t>
      </w:r>
      <w:r w:rsidRPr="000361CB">
        <w:rPr>
          <w:lang w:val="ro-RO"/>
        </w:rPr>
        <w:t>, a se vedea</w:t>
      </w:r>
      <w:hyperlink r:id="rId5" w:history="1">
        <w:r w:rsidR="000361CB" w:rsidRPr="00B9159A">
          <w:rPr>
            <w:rStyle w:val="Hyperlink"/>
            <w:lang w:val="ro-RO"/>
          </w:rPr>
          <w:t xml:space="preserve">   http://www.wowonline.org/wp-</w:t>
        </w:r>
      </w:hyperlink>
      <w:hyperlink r:id="rId6" w:history="1">
        <w:r w:rsidR="00197030" w:rsidRPr="009835B5">
          <w:rPr>
            <w:rStyle w:val="Hyperlink"/>
            <w:lang w:val="ro-RO"/>
          </w:rPr>
          <w:t>content/uploads/2013/10/WOW-ESS-Prosecutors-Pocket-Guide.pdf.</w:t>
        </w:r>
      </w:hyperlink>
    </w:p>
    <w:p w:rsidR="00772A29" w:rsidRDefault="00772A29" w:rsidP="008A386F">
      <w:pPr>
        <w:pBdr>
          <w:bottom w:val="single" w:sz="12" w:space="1" w:color="auto"/>
        </w:pBdr>
        <w:spacing w:after="419"/>
        <w:ind w:left="620" w:right="680"/>
        <w:rPr>
          <w:rStyle w:val="Hyperlink"/>
          <w:lang w:val="ro-RO"/>
        </w:rPr>
      </w:pPr>
    </w:p>
    <w:p w:rsidR="00772A29" w:rsidRPr="00772A29" w:rsidRDefault="00772A29" w:rsidP="008A386F">
      <w:pPr>
        <w:spacing w:after="419"/>
        <w:ind w:left="620" w:right="680"/>
        <w:rPr>
          <w:rStyle w:val="Hyperlink"/>
          <w:b/>
          <w:u w:val="none"/>
          <w:lang w:val="ro-RO"/>
        </w:rPr>
      </w:pPr>
      <w:r w:rsidRPr="00772A29">
        <w:rPr>
          <w:rStyle w:val="Hyperlink"/>
          <w:b/>
          <w:u w:val="none"/>
          <w:lang w:val="ro-RO"/>
        </w:rPr>
        <w:t xml:space="preserve">Dovezi legate de costuri </w:t>
      </w:r>
    </w:p>
    <w:p w:rsidR="001B5617" w:rsidRPr="00772A29" w:rsidRDefault="00772A29" w:rsidP="00772A29">
      <w:pPr>
        <w:pStyle w:val="ListParagraph"/>
        <w:numPr>
          <w:ilvl w:val="0"/>
          <w:numId w:val="2"/>
        </w:numPr>
        <w:spacing w:after="419"/>
        <w:ind w:right="680"/>
        <w:rPr>
          <w:lang w:val="ro-RO"/>
        </w:rPr>
      </w:pPr>
      <w:r w:rsidRPr="00772A29">
        <w:rPr>
          <w:lang w:val="ro-RO"/>
        </w:rPr>
        <w:t>Fotografii</w:t>
      </w:r>
      <w:r w:rsidR="001B5617" w:rsidRPr="00772A29">
        <w:rPr>
          <w:lang w:val="ro-RO"/>
        </w:rPr>
        <w:t xml:space="preserve"> a leziunilor și a proprietății deteriorate.</w:t>
      </w:r>
    </w:p>
    <w:p w:rsidR="001B5617" w:rsidRPr="00772A29" w:rsidRDefault="001B5617" w:rsidP="00772A29">
      <w:pPr>
        <w:pStyle w:val="ListParagraph"/>
        <w:numPr>
          <w:ilvl w:val="0"/>
          <w:numId w:val="2"/>
        </w:numPr>
        <w:spacing w:after="419"/>
        <w:ind w:right="680"/>
        <w:rPr>
          <w:lang w:val="ro-RO"/>
        </w:rPr>
      </w:pPr>
      <w:r w:rsidRPr="00772A29">
        <w:rPr>
          <w:lang w:val="ro-RO"/>
        </w:rPr>
        <w:t>Înregistrări video cu camere instalate în clădirile din apropiere, care , posibil au înregistrat cauzarea leziunilor sau deteriorarea proprietății, atunci când ceste lucruri se petreceau în exteriorul locuinței,</w:t>
      </w:r>
    </w:p>
    <w:p w:rsidR="001B5617" w:rsidRPr="00772A29" w:rsidRDefault="001B5617" w:rsidP="00772A29">
      <w:pPr>
        <w:pStyle w:val="ListParagraph"/>
        <w:numPr>
          <w:ilvl w:val="0"/>
          <w:numId w:val="2"/>
        </w:numPr>
        <w:spacing w:after="419"/>
        <w:ind w:right="680"/>
        <w:rPr>
          <w:lang w:val="ro-RO"/>
        </w:rPr>
      </w:pPr>
      <w:r w:rsidRPr="00772A29">
        <w:rPr>
          <w:lang w:val="ro-RO"/>
        </w:rPr>
        <w:t>Lucruri în proprietatea agresorului l momentul arestului, care de fapt aparțineau victimei.</w:t>
      </w:r>
    </w:p>
    <w:p w:rsidR="001B5617" w:rsidRPr="00772A29" w:rsidRDefault="001B5617" w:rsidP="00772A29">
      <w:pPr>
        <w:pStyle w:val="ListParagraph"/>
        <w:numPr>
          <w:ilvl w:val="0"/>
          <w:numId w:val="2"/>
        </w:numPr>
        <w:spacing w:after="419"/>
        <w:ind w:right="680"/>
        <w:rPr>
          <w:lang w:val="ro-RO"/>
        </w:rPr>
      </w:pPr>
      <w:r w:rsidRPr="00772A29">
        <w:rPr>
          <w:lang w:val="ro-RO"/>
        </w:rPr>
        <w:t>Valoarea bunului deteriorat sau distrusă, sau costurile de reparație, care au fost acoperite cu concursul victimei.</w:t>
      </w:r>
    </w:p>
    <w:p w:rsidR="001B5617" w:rsidRPr="00772A29" w:rsidRDefault="001B5617" w:rsidP="00772A29">
      <w:pPr>
        <w:pStyle w:val="ListParagraph"/>
        <w:numPr>
          <w:ilvl w:val="0"/>
          <w:numId w:val="2"/>
        </w:numPr>
        <w:spacing w:after="419"/>
        <w:ind w:right="680"/>
        <w:rPr>
          <w:lang w:val="ro-RO"/>
        </w:rPr>
      </w:pPr>
      <w:r w:rsidRPr="00772A29">
        <w:rPr>
          <w:lang w:val="ro-RO"/>
        </w:rPr>
        <w:t>Apeluri telefonice, e-mailuri, mesaje sms și mesaje pe rețelele de socializare, recepționate casă, la locul de lucru și l ș</w:t>
      </w:r>
      <w:r w:rsidR="005F69E3" w:rsidRPr="00772A29">
        <w:rPr>
          <w:lang w:val="ro-RO"/>
        </w:rPr>
        <w:t>c</w:t>
      </w:r>
      <w:r w:rsidRPr="00772A29">
        <w:rPr>
          <w:lang w:val="ro-RO"/>
        </w:rPr>
        <w:t>oală.</w:t>
      </w:r>
    </w:p>
    <w:p w:rsidR="005F69E3" w:rsidRPr="00772A29" w:rsidRDefault="005F69E3" w:rsidP="00772A29">
      <w:pPr>
        <w:pStyle w:val="ListParagraph"/>
        <w:numPr>
          <w:ilvl w:val="0"/>
          <w:numId w:val="2"/>
        </w:numPr>
        <w:spacing w:after="419"/>
        <w:ind w:right="680"/>
        <w:rPr>
          <w:lang w:val="ro-RO"/>
        </w:rPr>
      </w:pPr>
      <w:r w:rsidRPr="00772A29">
        <w:rPr>
          <w:lang w:val="ro-RO"/>
        </w:rPr>
        <w:t>Documente financiare care indică costuri legate de comiterea actului de violență (note de plată, extrase bancare, rapoarte de creditare, facturi, chitanțe, cecuri stinse,cecuri de plată furate, etc.)</w:t>
      </w:r>
    </w:p>
    <w:p w:rsidR="005F69E3" w:rsidRPr="00772A29" w:rsidRDefault="005F69E3" w:rsidP="00772A29">
      <w:pPr>
        <w:pStyle w:val="ListParagraph"/>
        <w:numPr>
          <w:ilvl w:val="0"/>
          <w:numId w:val="2"/>
        </w:numPr>
        <w:spacing w:after="419"/>
        <w:ind w:right="680"/>
        <w:rPr>
          <w:lang w:val="ro-RO"/>
        </w:rPr>
      </w:pPr>
      <w:r w:rsidRPr="00772A29">
        <w:rPr>
          <w:lang w:val="ro-RO"/>
        </w:rPr>
        <w:t>Documente care atestă costurile de îngrijire medicală  leziunilor cauzate de violența în familie.</w:t>
      </w:r>
    </w:p>
    <w:p w:rsidR="005F69E3" w:rsidRPr="00772A29" w:rsidRDefault="005F69E3" w:rsidP="00772A29">
      <w:pPr>
        <w:pStyle w:val="ListParagraph"/>
        <w:numPr>
          <w:ilvl w:val="0"/>
          <w:numId w:val="2"/>
        </w:numPr>
        <w:spacing w:after="419"/>
        <w:ind w:right="680"/>
        <w:rPr>
          <w:lang w:val="ro-RO"/>
        </w:rPr>
      </w:pPr>
      <w:r w:rsidRPr="00772A29">
        <w:rPr>
          <w:lang w:val="ro-RO"/>
        </w:rPr>
        <w:t>Documente care indică lipsa de la serviciu sau de la școală (formulare de cerere de zile libere de la departamentul resurse umane, rapoarte ce atestă prezența la școală, extrase din jurnalul de securitate cu semnăturile angajaților, etc.) în urma actului de violență.</w:t>
      </w:r>
    </w:p>
    <w:p w:rsidR="005F69E3" w:rsidRPr="00772A29" w:rsidRDefault="00213EF8" w:rsidP="00772A29">
      <w:pPr>
        <w:pStyle w:val="ListParagraph"/>
        <w:numPr>
          <w:ilvl w:val="0"/>
          <w:numId w:val="2"/>
        </w:numPr>
        <w:spacing w:after="419"/>
        <w:ind w:right="680"/>
        <w:rPr>
          <w:lang w:val="ro-RO"/>
        </w:rPr>
      </w:pPr>
      <w:r w:rsidRPr="00772A29">
        <w:rPr>
          <w:lang w:val="ro-RO"/>
        </w:rPr>
        <w:lastRenderedPageBreak/>
        <w:t>Documente</w:t>
      </w:r>
      <w:r w:rsidR="005F69E3" w:rsidRPr="00772A29">
        <w:rPr>
          <w:lang w:val="ro-RO"/>
        </w:rPr>
        <w:t xml:space="preserve"> de urmărire penală care indică dovezi de urmărire prin elemente </w:t>
      </w:r>
      <w:r w:rsidRPr="00772A29">
        <w:rPr>
          <w:lang w:val="ro-RO"/>
        </w:rPr>
        <w:t xml:space="preserve">cibernetice / sau de urmărire </w:t>
      </w:r>
      <w:r w:rsidR="005F69E3" w:rsidRPr="00772A29">
        <w:rPr>
          <w:lang w:val="ro-RO"/>
        </w:rPr>
        <w:t>electronic</w:t>
      </w:r>
      <w:r w:rsidRPr="00772A29">
        <w:rPr>
          <w:lang w:val="ro-RO"/>
        </w:rPr>
        <w:t>ă, care atestă crime economice on line și furt de identitate; dovezi de monitorizare de l locul de lucru a infractorului și cu tehnologii din cadrul locuinței; trimiteri imitate la telefon sau la e-mail, urmărire ne-autorizată prin GPS, sau sunet deteriorat pentru  conversațiile telefonice ale victimei.</w:t>
      </w:r>
    </w:p>
    <w:p w:rsidR="00213EF8" w:rsidRDefault="00213EF8" w:rsidP="00772A29">
      <w:pPr>
        <w:pStyle w:val="ListParagraph"/>
        <w:numPr>
          <w:ilvl w:val="0"/>
          <w:numId w:val="2"/>
        </w:numPr>
        <w:spacing w:after="419"/>
        <w:ind w:right="680"/>
        <w:rPr>
          <w:lang w:val="ro-RO"/>
        </w:rPr>
      </w:pPr>
      <w:r w:rsidRPr="00772A29">
        <w:rPr>
          <w:lang w:val="ro-RO"/>
        </w:rPr>
        <w:t>Măsuri de protecție luate de victimă (sisteme de securizare, schimbarea locului de trai, schimbarea numărului de telefon, etc.) și costurile cestor măsuri ( chitanțe, recipise, extrase bancare, rapoarte din cardul de credit</w:t>
      </w:r>
      <w:r w:rsidR="00B35CCD" w:rsidRPr="00772A29">
        <w:rPr>
          <w:lang w:val="ro-RO"/>
        </w:rPr>
        <w:t>, etc.)</w:t>
      </w:r>
    </w:p>
    <w:p w:rsidR="00772A29" w:rsidRDefault="00772A29" w:rsidP="00772A29">
      <w:pPr>
        <w:spacing w:after="419"/>
        <w:ind w:right="680"/>
        <w:rPr>
          <w:b/>
          <w:lang w:val="ro-RO"/>
        </w:rPr>
      </w:pPr>
      <w:r w:rsidRPr="00772A29">
        <w:rPr>
          <w:b/>
          <w:lang w:val="ro-RO"/>
        </w:rPr>
        <w:t xml:space="preserve">De ce ar trebui luată în considerare </w:t>
      </w:r>
      <w:r w:rsidR="002025D4">
        <w:rPr>
          <w:b/>
          <w:lang w:val="ro-RO"/>
        </w:rPr>
        <w:t>securitatea</w:t>
      </w:r>
      <w:r w:rsidRPr="00772A29">
        <w:rPr>
          <w:b/>
          <w:lang w:val="ro-RO"/>
        </w:rPr>
        <w:t xml:space="preserve"> economică?</w:t>
      </w:r>
    </w:p>
    <w:p w:rsidR="00772A29" w:rsidRPr="00A711E1" w:rsidRDefault="00772A29" w:rsidP="00A711E1">
      <w:pPr>
        <w:pStyle w:val="ListParagraph"/>
        <w:numPr>
          <w:ilvl w:val="0"/>
          <w:numId w:val="3"/>
        </w:numPr>
        <w:spacing w:after="419"/>
        <w:ind w:right="680"/>
        <w:rPr>
          <w:lang w:val="ro-RO"/>
        </w:rPr>
      </w:pPr>
      <w:r w:rsidRPr="00A711E1">
        <w:rPr>
          <w:lang w:val="ro-RO"/>
        </w:rPr>
        <w:t xml:space="preserve">Victimele vor fi mai dispuse să coopereze cu procurorul atunci când nevoile de bază a acestora sunt satisfăcute și vor depune mărturii cinstite dacă vor fi protejate de amenințările de ordin economic </w:t>
      </w:r>
      <w:r w:rsidR="00B4209E" w:rsidRPr="00A711E1">
        <w:rPr>
          <w:lang w:val="ro-RO"/>
        </w:rPr>
        <w:t>a</w:t>
      </w:r>
      <w:r w:rsidRPr="00A711E1">
        <w:rPr>
          <w:lang w:val="ro-RO"/>
        </w:rPr>
        <w:t xml:space="preserve">le </w:t>
      </w:r>
      <w:r w:rsidR="00B4209E" w:rsidRPr="00A711E1">
        <w:rPr>
          <w:lang w:val="ro-RO"/>
        </w:rPr>
        <w:t>agresorului</w:t>
      </w:r>
      <w:r w:rsidRPr="00A711E1">
        <w:rPr>
          <w:lang w:val="ro-RO"/>
        </w:rPr>
        <w:t xml:space="preserve">. </w:t>
      </w:r>
    </w:p>
    <w:p w:rsidR="00772A29" w:rsidRPr="00A711E1" w:rsidRDefault="00772A29" w:rsidP="00A711E1">
      <w:pPr>
        <w:pStyle w:val="ListParagraph"/>
        <w:numPr>
          <w:ilvl w:val="0"/>
          <w:numId w:val="3"/>
        </w:numPr>
        <w:spacing w:after="419"/>
        <w:ind w:right="680"/>
        <w:rPr>
          <w:lang w:val="ro-RO"/>
        </w:rPr>
      </w:pPr>
      <w:r w:rsidRPr="00A711E1">
        <w:rPr>
          <w:lang w:val="ro-RO"/>
        </w:rPr>
        <w:t xml:space="preserve">Lipsa de securitate economică, dependența de agresor, sau dependența economică de acesta poate ajuta judecătorii și jurații să înțeleagă de ce victima continuă să stea cu agresorul, tărăgănează </w:t>
      </w:r>
      <w:r w:rsidR="00B4209E" w:rsidRPr="00A711E1">
        <w:rPr>
          <w:lang w:val="ro-RO"/>
        </w:rPr>
        <w:t>raportarea unui asalt și își retrage acuzațiile, sau face declarații contradictorii celor de mai înainte.</w:t>
      </w:r>
    </w:p>
    <w:p w:rsidR="00B4209E" w:rsidRPr="00A711E1" w:rsidRDefault="00B4209E" w:rsidP="00A711E1">
      <w:pPr>
        <w:pStyle w:val="ListParagraph"/>
        <w:numPr>
          <w:ilvl w:val="0"/>
          <w:numId w:val="3"/>
        </w:numPr>
        <w:spacing w:after="419"/>
        <w:ind w:right="680"/>
        <w:rPr>
          <w:lang w:val="ro-RO"/>
        </w:rPr>
      </w:pPr>
      <w:r w:rsidRPr="00A711E1">
        <w:rPr>
          <w:lang w:val="ro-RO"/>
        </w:rPr>
        <w:t>Procurorii ar putea trage la răspundere infractorii</w:t>
      </w:r>
      <w:r w:rsidR="00E3414F" w:rsidRPr="00A711E1">
        <w:rPr>
          <w:lang w:val="ro-RO"/>
        </w:rPr>
        <w:t xml:space="preserve"> și înainta acuzații pentru toate infracțiunile  economice comise și ar putea cere restituirea tuturor costurilor suportate.</w:t>
      </w:r>
    </w:p>
    <w:p w:rsidR="00E3414F" w:rsidRPr="00A711E1" w:rsidRDefault="00E3414F" w:rsidP="00A711E1">
      <w:pPr>
        <w:pStyle w:val="ListParagraph"/>
        <w:numPr>
          <w:ilvl w:val="0"/>
          <w:numId w:val="3"/>
        </w:numPr>
        <w:spacing w:after="419"/>
        <w:ind w:right="680"/>
        <w:rPr>
          <w:lang w:val="ro-RO"/>
        </w:rPr>
      </w:pPr>
      <w:r w:rsidRPr="00A711E1">
        <w:rPr>
          <w:lang w:val="ro-RO"/>
        </w:rPr>
        <w:t>Procurorii s-ar putea baza pe infracțiunile de ordin economic și pe dovezile disponibile pentru a închide cu succes cazurile, chiar dacă victima nu dorește, sau nu este în stare să depună mărturii.</w:t>
      </w:r>
    </w:p>
    <w:p w:rsidR="00E3414F" w:rsidRPr="00A711E1" w:rsidRDefault="00E3414F" w:rsidP="00A711E1">
      <w:pPr>
        <w:pStyle w:val="ListParagraph"/>
        <w:numPr>
          <w:ilvl w:val="0"/>
          <w:numId w:val="3"/>
        </w:numPr>
        <w:spacing w:after="419"/>
        <w:ind w:right="680"/>
        <w:rPr>
          <w:lang w:val="ro-RO"/>
        </w:rPr>
      </w:pPr>
      <w:r w:rsidRPr="00A711E1">
        <w:rPr>
          <w:lang w:val="ro-RO"/>
        </w:rPr>
        <w:t>Victimele sunt mai dispuse să raporteze infracțiunile adăugătoare sau cele de viitor dacă va fi îmbunătățită încrederea lor în sistemul de justiție prin faptul că procurorii admit și le sprijină în obținerea siguranței lor economice.</w:t>
      </w:r>
    </w:p>
    <w:p w:rsidR="00E3414F" w:rsidRDefault="00E3414F" w:rsidP="00772A29">
      <w:pPr>
        <w:spacing w:after="419"/>
        <w:ind w:right="680"/>
        <w:rPr>
          <w:rStyle w:val="Hyperlink"/>
          <w:lang w:val="ro-RO"/>
        </w:rPr>
      </w:pPr>
      <w:r>
        <w:rPr>
          <w:lang w:val="ro-RO"/>
        </w:rPr>
        <w:t>Pentru a accesa Ghidul procurorului cu referire la siguranța și securitatea economicăa victimei</w:t>
      </w:r>
      <w:r w:rsidR="00F5042B">
        <w:rPr>
          <w:lang w:val="ro-RO"/>
        </w:rPr>
        <w:t xml:space="preserve"> violenței împotriva femeilor accesați:</w:t>
      </w:r>
      <w:hyperlink r:id="rId7" w:history="1">
        <w:r w:rsidR="00F5042B" w:rsidRPr="00B9159A">
          <w:rPr>
            <w:rStyle w:val="Hyperlink"/>
            <w:lang w:val="ro-RO"/>
          </w:rPr>
          <w:t xml:space="preserve">   http://www.wowonline.org/wp-</w:t>
        </w:r>
      </w:hyperlink>
      <w:hyperlink r:id="rId8" w:history="1">
        <w:r w:rsidR="00F5042B" w:rsidRPr="009835B5">
          <w:rPr>
            <w:rStyle w:val="Hyperlink"/>
            <w:lang w:val="ro-RO"/>
          </w:rPr>
          <w:t>content/uploads/2013/</w:t>
        </w:r>
        <w:r w:rsidR="00F5042B">
          <w:rPr>
            <w:rStyle w:val="Hyperlink"/>
            <w:lang w:val="ro-RO"/>
          </w:rPr>
          <w:t>06</w:t>
        </w:r>
        <w:r w:rsidR="00F5042B" w:rsidRPr="009835B5">
          <w:rPr>
            <w:rStyle w:val="Hyperlink"/>
            <w:lang w:val="ro-RO"/>
          </w:rPr>
          <w:t>/WOW-ESS-Prosecutors-</w:t>
        </w:r>
        <w:r w:rsidR="00F5042B">
          <w:rPr>
            <w:rStyle w:val="Hyperlink"/>
            <w:lang w:val="ro-RO"/>
          </w:rPr>
          <w:t>Sector</w:t>
        </w:r>
        <w:r w:rsidR="00F5042B" w:rsidRPr="009835B5">
          <w:rPr>
            <w:rStyle w:val="Hyperlink"/>
            <w:lang w:val="ro-RO"/>
          </w:rPr>
          <w:t>-Guide.pdf.</w:t>
        </w:r>
      </w:hyperlink>
    </w:p>
    <w:p w:rsidR="00F5042B" w:rsidRDefault="00F5042B" w:rsidP="00772A29">
      <w:pPr>
        <w:spacing w:after="419"/>
        <w:ind w:right="680"/>
        <w:rPr>
          <w:rStyle w:val="Hyperlink"/>
          <w:b/>
          <w:sz w:val="32"/>
          <w:szCs w:val="32"/>
          <w:u w:val="none"/>
          <w:lang w:val="ro-RO"/>
        </w:rPr>
      </w:pPr>
      <w:r w:rsidRPr="00F5042B">
        <w:rPr>
          <w:rStyle w:val="Hyperlink"/>
          <w:b/>
          <w:sz w:val="32"/>
          <w:szCs w:val="32"/>
          <w:u w:val="none"/>
          <w:lang w:val="ro-RO"/>
        </w:rPr>
        <w:t>WOW</w:t>
      </w:r>
    </w:p>
    <w:p w:rsidR="00F5042B" w:rsidRDefault="00F5042B" w:rsidP="00772A29">
      <w:pPr>
        <w:spacing w:after="419"/>
        <w:ind w:right="680"/>
        <w:rPr>
          <w:rStyle w:val="Hyperlink"/>
          <w:b/>
          <w:u w:val="none"/>
          <w:lang w:val="ro-RO"/>
        </w:rPr>
      </w:pPr>
      <w:r>
        <w:rPr>
          <w:rStyle w:val="Hyperlink"/>
          <w:b/>
          <w:u w:val="none"/>
          <w:lang w:val="ro-RO"/>
        </w:rPr>
        <w:t>Mai multe oportunități pentru femei</w:t>
      </w:r>
    </w:p>
    <w:p w:rsidR="00F5042B" w:rsidRDefault="00F5042B" w:rsidP="00772A29">
      <w:pPr>
        <w:spacing w:after="419"/>
        <w:ind w:right="680"/>
        <w:rPr>
          <w:sz w:val="22"/>
          <w:szCs w:val="22"/>
          <w:lang w:val="ro-RO"/>
        </w:rPr>
      </w:pPr>
      <w:r>
        <w:rPr>
          <w:rStyle w:val="Hyperlink"/>
          <w:sz w:val="22"/>
          <w:szCs w:val="22"/>
          <w:u w:val="none"/>
          <w:lang w:val="ro-RO"/>
        </w:rPr>
        <w:t>Îmbunătățirea egalității și a securității economice</w:t>
      </w:r>
    </w:p>
    <w:p w:rsidR="00F5042B" w:rsidRDefault="00F5042B" w:rsidP="00772A29">
      <w:pPr>
        <w:spacing w:after="419"/>
        <w:ind w:right="680"/>
        <w:rPr>
          <w:sz w:val="20"/>
          <w:szCs w:val="20"/>
          <w:lang w:val="ro-RO"/>
        </w:rPr>
      </w:pPr>
      <w:r w:rsidRPr="00F5042B">
        <w:rPr>
          <w:sz w:val="20"/>
          <w:szCs w:val="20"/>
          <w:lang w:val="ro-RO"/>
        </w:rPr>
        <w:t xml:space="preserve">Proiectul </w:t>
      </w:r>
    </w:p>
    <w:p w:rsidR="00F5042B" w:rsidRDefault="00F5042B" w:rsidP="00772A29">
      <w:pPr>
        <w:spacing w:after="419"/>
        <w:ind w:right="680"/>
        <w:rPr>
          <w:sz w:val="20"/>
          <w:szCs w:val="20"/>
          <w:lang w:val="ro-RO"/>
        </w:rPr>
      </w:pPr>
      <w:r w:rsidRPr="00F5042B">
        <w:rPr>
          <w:sz w:val="20"/>
          <w:szCs w:val="20"/>
          <w:lang w:val="ro-RO"/>
        </w:rPr>
        <w:t xml:space="preserve">de Securitate Economică </w:t>
      </w:r>
    </w:p>
    <w:p w:rsidR="00F5042B" w:rsidRPr="00F5042B" w:rsidRDefault="00F5042B" w:rsidP="00772A29">
      <w:pPr>
        <w:spacing w:after="419"/>
        <w:ind w:right="680"/>
        <w:rPr>
          <w:sz w:val="20"/>
          <w:szCs w:val="20"/>
          <w:lang w:val="ro-RO"/>
        </w:rPr>
      </w:pPr>
      <w:r w:rsidRPr="00F5042B">
        <w:rPr>
          <w:sz w:val="20"/>
          <w:szCs w:val="20"/>
          <w:lang w:val="ro-RO"/>
        </w:rPr>
        <w:t>a Supraviețuitorilor</w:t>
      </w:r>
    </w:p>
    <w:p w:rsidR="00F5042B" w:rsidRPr="00F5042B" w:rsidRDefault="00F5042B" w:rsidP="00772A29">
      <w:pPr>
        <w:spacing w:after="419"/>
        <w:ind w:right="680"/>
        <w:rPr>
          <w:b/>
          <w:lang w:val="ro-RO"/>
        </w:rPr>
      </w:pPr>
      <w:r w:rsidRPr="00F5042B">
        <w:rPr>
          <w:b/>
          <w:lang w:val="ro-RO"/>
        </w:rPr>
        <w:t>G</w:t>
      </w:r>
      <w:r>
        <w:rPr>
          <w:b/>
          <w:lang w:val="ro-RO"/>
        </w:rPr>
        <w:t>h</w:t>
      </w:r>
      <w:r w:rsidRPr="00F5042B">
        <w:rPr>
          <w:b/>
          <w:lang w:val="ro-RO"/>
        </w:rPr>
        <w:t>id de buzunar pentru procurori referitor la securitatea economică</w:t>
      </w:r>
    </w:p>
    <w:p w:rsidR="00F5042B" w:rsidRDefault="00F5042B" w:rsidP="00772A29">
      <w:pPr>
        <w:spacing w:after="419"/>
        <w:ind w:right="680"/>
        <w:rPr>
          <w:sz w:val="22"/>
          <w:szCs w:val="22"/>
          <w:lang w:val="ro-RO"/>
        </w:rPr>
      </w:pPr>
      <w:r>
        <w:rPr>
          <w:sz w:val="22"/>
          <w:szCs w:val="22"/>
          <w:lang w:val="ro-RO"/>
        </w:rPr>
        <w:lastRenderedPageBreak/>
        <w:t>Listă de evaluare a dovezilor, infracțiunilor și a solicitărilor de restituire în baza datelor economice</w:t>
      </w:r>
    </w:p>
    <w:p w:rsidR="00173981" w:rsidRDefault="00173981" w:rsidP="00173981">
      <w:pPr>
        <w:spacing w:after="419"/>
        <w:ind w:right="680"/>
        <w:rPr>
          <w:rStyle w:val="Hyperlink"/>
          <w:b/>
          <w:sz w:val="32"/>
          <w:szCs w:val="32"/>
          <w:u w:val="none"/>
          <w:lang w:val="ro-RO"/>
        </w:rPr>
      </w:pPr>
    </w:p>
    <w:p w:rsidR="00173981" w:rsidRDefault="00173981" w:rsidP="00173981">
      <w:pPr>
        <w:spacing w:after="419"/>
        <w:ind w:right="680"/>
        <w:rPr>
          <w:rStyle w:val="Hyperlink"/>
          <w:b/>
          <w:sz w:val="32"/>
          <w:szCs w:val="32"/>
          <w:u w:val="none"/>
          <w:lang w:val="ro-RO"/>
        </w:rPr>
      </w:pPr>
      <w:r w:rsidRPr="00F5042B">
        <w:rPr>
          <w:rStyle w:val="Hyperlink"/>
          <w:b/>
          <w:sz w:val="32"/>
          <w:szCs w:val="32"/>
          <w:u w:val="none"/>
          <w:lang w:val="ro-RO"/>
        </w:rPr>
        <w:t>WOW</w:t>
      </w:r>
    </w:p>
    <w:p w:rsidR="00173981" w:rsidRDefault="00173981" w:rsidP="00173981">
      <w:pPr>
        <w:spacing w:after="419"/>
        <w:ind w:right="680"/>
        <w:rPr>
          <w:rStyle w:val="Hyperlink"/>
          <w:b/>
          <w:u w:val="none"/>
          <w:lang w:val="ro-RO"/>
        </w:rPr>
      </w:pPr>
      <w:r>
        <w:rPr>
          <w:rStyle w:val="Hyperlink"/>
          <w:b/>
          <w:u w:val="none"/>
          <w:lang w:val="ro-RO"/>
        </w:rPr>
        <w:t>Mai multe oportunități pentru femei</w:t>
      </w:r>
    </w:p>
    <w:p w:rsidR="00173981" w:rsidRDefault="00173981" w:rsidP="00173981">
      <w:pPr>
        <w:spacing w:after="419"/>
        <w:ind w:right="680"/>
        <w:rPr>
          <w:rStyle w:val="Hyperlink"/>
          <w:sz w:val="22"/>
          <w:szCs w:val="22"/>
          <w:u w:val="none"/>
          <w:lang w:val="ro-RO"/>
        </w:rPr>
      </w:pPr>
      <w:r>
        <w:rPr>
          <w:rStyle w:val="Hyperlink"/>
          <w:sz w:val="22"/>
          <w:szCs w:val="22"/>
          <w:u w:val="none"/>
          <w:lang w:val="ro-RO"/>
        </w:rPr>
        <w:t>Îmbunătățirea egalității și a securității economice</w:t>
      </w:r>
    </w:p>
    <w:p w:rsidR="00173981" w:rsidRDefault="00173981" w:rsidP="00772A29">
      <w:pPr>
        <w:spacing w:after="419"/>
        <w:ind w:right="680"/>
        <w:rPr>
          <w:sz w:val="22"/>
          <w:szCs w:val="22"/>
          <w:lang w:val="ro-RO"/>
        </w:rPr>
      </w:pPr>
    </w:p>
    <w:p w:rsidR="00F5042B" w:rsidRDefault="00F5042B" w:rsidP="00772A29">
      <w:pPr>
        <w:spacing w:after="419"/>
        <w:ind w:right="680"/>
        <w:rPr>
          <w:sz w:val="22"/>
          <w:szCs w:val="22"/>
          <w:lang w:val="ro-RO"/>
        </w:rPr>
      </w:pPr>
    </w:p>
    <w:p w:rsidR="00F5042B" w:rsidRDefault="00F5042B" w:rsidP="00772A29">
      <w:pPr>
        <w:spacing w:after="419"/>
        <w:ind w:right="680"/>
        <w:rPr>
          <w:sz w:val="22"/>
          <w:szCs w:val="22"/>
          <w:lang w:val="ro-RO"/>
        </w:rPr>
      </w:pPr>
    </w:p>
    <w:p w:rsidR="00F5042B" w:rsidRPr="00F5042B" w:rsidRDefault="00F5042B" w:rsidP="00772A29">
      <w:pPr>
        <w:spacing w:after="419"/>
        <w:ind w:right="680"/>
        <w:rPr>
          <w:sz w:val="22"/>
          <w:szCs w:val="22"/>
          <w:lang w:val="ro-RO"/>
        </w:rPr>
      </w:pPr>
    </w:p>
    <w:p w:rsidR="00E3414F" w:rsidRPr="00772A29" w:rsidRDefault="00E3414F" w:rsidP="00772A29">
      <w:pPr>
        <w:spacing w:after="419"/>
        <w:ind w:right="680"/>
        <w:rPr>
          <w:lang w:val="ro-RO"/>
        </w:rPr>
      </w:pPr>
    </w:p>
    <w:sectPr w:rsidR="00E3414F" w:rsidRPr="00772A29" w:rsidSect="00813D7A">
      <w:pgSz w:w="12240" w:h="15840"/>
      <w:pgMar w:top="95" w:right="797" w:bottom="95" w:left="82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22C"/>
    <w:multiLevelType w:val="hybridMultilevel"/>
    <w:tmpl w:val="1A18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EE4822"/>
    <w:multiLevelType w:val="hybridMultilevel"/>
    <w:tmpl w:val="EEE8D7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0624E"/>
    <w:multiLevelType w:val="hybridMultilevel"/>
    <w:tmpl w:val="3BE656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30"/>
    <w:rsid w:val="000361CB"/>
    <w:rsid w:val="00173981"/>
    <w:rsid w:val="00197030"/>
    <w:rsid w:val="001B5617"/>
    <w:rsid w:val="002025D4"/>
    <w:rsid w:val="00213EF8"/>
    <w:rsid w:val="00473F83"/>
    <w:rsid w:val="0055373F"/>
    <w:rsid w:val="005D640D"/>
    <w:rsid w:val="005F69E3"/>
    <w:rsid w:val="00700846"/>
    <w:rsid w:val="00772A29"/>
    <w:rsid w:val="007E0D42"/>
    <w:rsid w:val="00813D7A"/>
    <w:rsid w:val="008776E2"/>
    <w:rsid w:val="008A386F"/>
    <w:rsid w:val="009835B5"/>
    <w:rsid w:val="00A711E1"/>
    <w:rsid w:val="00B35CCD"/>
    <w:rsid w:val="00B4209E"/>
    <w:rsid w:val="00BB5478"/>
    <w:rsid w:val="00D90DAD"/>
    <w:rsid w:val="00E3414F"/>
    <w:rsid w:val="00F50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4EF9F-4E59-4368-A88D-429DDE8C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7030"/>
    <w:pPr>
      <w:widowControl w:val="0"/>
      <w:spacing w:after="0" w:line="240" w:lineRule="auto"/>
    </w:pPr>
    <w:rPr>
      <w:rFonts w:ascii="Arial Unicode MS" w:eastAsia="Arial Unicode MS" w:hAnsi="Arial Unicode MS" w:cs="Arial Unicode MS"/>
      <w:color w:val="000000"/>
      <w:sz w:val="24"/>
      <w:szCs w:val="24"/>
      <w:lang w:val="en-US" w:bidi="en-US"/>
    </w:rPr>
  </w:style>
  <w:style w:type="paragraph" w:styleId="Heading7">
    <w:name w:val="heading 7"/>
    <w:basedOn w:val="Normal"/>
    <w:link w:val="Heading7Char"/>
    <w:uiPriority w:val="9"/>
    <w:semiHidden/>
    <w:unhideWhenUsed/>
    <w:qFormat/>
    <w:rsid w:val="007E0D42"/>
    <w:pPr>
      <w:widowControl/>
      <w:spacing w:before="240" w:after="60" w:line="276" w:lineRule="auto"/>
      <w:outlineLvl w:val="6"/>
    </w:pPr>
    <w:rPr>
      <w:rFonts w:asciiTheme="minorHAnsi" w:eastAsiaTheme="minorHAnsi" w:hAnsiTheme="minorHAnsi" w:cstheme="minorBidi"/>
      <w:color w:val="auto"/>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7E0D42"/>
    <w:rPr>
      <w:rFonts w:cstheme="minorBidi"/>
      <w:sz w:val="24"/>
      <w:szCs w:val="24"/>
    </w:rPr>
  </w:style>
  <w:style w:type="paragraph" w:styleId="ListParagraph">
    <w:name w:val="List Paragraph"/>
    <w:basedOn w:val="Normal"/>
    <w:link w:val="ListParagraphChar"/>
    <w:qFormat/>
    <w:rsid w:val="005D640D"/>
    <w:pPr>
      <w:widowControl/>
      <w:ind w:left="720"/>
      <w:contextualSpacing/>
    </w:pPr>
    <w:rPr>
      <w:rFonts w:ascii="Times New Roman" w:eastAsiaTheme="minorHAnsi" w:hAnsi="Times New Roman" w:cs="Times New Roman"/>
      <w:color w:val="auto"/>
      <w:szCs w:val="22"/>
      <w:lang w:val="x-none" w:bidi="ar-SA"/>
    </w:rPr>
  </w:style>
  <w:style w:type="character" w:customStyle="1" w:styleId="ListParagraphChar">
    <w:name w:val="List Paragraph Char"/>
    <w:link w:val="ListParagraph"/>
    <w:locked/>
    <w:rsid w:val="005D640D"/>
    <w:rPr>
      <w:rFonts w:ascii="Times New Roman" w:hAnsi="Times New Roman"/>
      <w:sz w:val="24"/>
      <w:lang w:val="x-none"/>
    </w:rPr>
  </w:style>
  <w:style w:type="character" w:styleId="Hyperlink">
    <w:name w:val="Hyperlink"/>
    <w:basedOn w:val="DefaultParagraphFont"/>
    <w:rsid w:val="00197030"/>
    <w:rPr>
      <w:color w:val="0066CC"/>
      <w:u w:val="single"/>
    </w:rPr>
  </w:style>
  <w:style w:type="character" w:customStyle="1" w:styleId="Bodytext3">
    <w:name w:val="Body text (3)_"/>
    <w:basedOn w:val="DefaultParagraphFont"/>
    <w:rsid w:val="00197030"/>
    <w:rPr>
      <w:rFonts w:ascii="Arial" w:eastAsia="Arial" w:hAnsi="Arial" w:cs="Arial"/>
      <w:b w:val="0"/>
      <w:bCs w:val="0"/>
      <w:i w:val="0"/>
      <w:iCs w:val="0"/>
      <w:smallCaps w:val="0"/>
      <w:strike w:val="0"/>
      <w:sz w:val="18"/>
      <w:szCs w:val="18"/>
      <w:u w:val="none"/>
    </w:rPr>
  </w:style>
  <w:style w:type="character" w:customStyle="1" w:styleId="Bodytext30">
    <w:name w:val="Body text (3)"/>
    <w:basedOn w:val="Bodytext3"/>
    <w:rsid w:val="00197030"/>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Heading1">
    <w:name w:val="Heading #1_"/>
    <w:basedOn w:val="DefaultParagraphFont"/>
    <w:rsid w:val="00197030"/>
    <w:rPr>
      <w:rFonts w:ascii="Trebuchet MS" w:eastAsia="Trebuchet MS" w:hAnsi="Trebuchet MS" w:cs="Trebuchet MS"/>
      <w:b/>
      <w:bCs/>
      <w:i w:val="0"/>
      <w:iCs w:val="0"/>
      <w:smallCaps w:val="0"/>
      <w:strike w:val="0"/>
      <w:sz w:val="26"/>
      <w:szCs w:val="26"/>
      <w:u w:val="none"/>
    </w:rPr>
  </w:style>
  <w:style w:type="character" w:customStyle="1" w:styleId="Heading10">
    <w:name w:val="Heading #1"/>
    <w:basedOn w:val="Heading1"/>
    <w:rsid w:val="00197030"/>
    <w:rPr>
      <w:rFonts w:ascii="Trebuchet MS" w:eastAsia="Trebuchet MS" w:hAnsi="Trebuchet MS" w:cs="Trebuchet MS"/>
      <w:b/>
      <w:bCs/>
      <w:i w:val="0"/>
      <w:iCs w:val="0"/>
      <w:smallCaps w:val="0"/>
      <w:strike w:val="0"/>
      <w:color w:val="000000"/>
      <w:spacing w:val="0"/>
      <w:w w:val="100"/>
      <w:position w:val="0"/>
      <w:sz w:val="26"/>
      <w:szCs w:val="26"/>
      <w:u w:val="none"/>
      <w:lang w:val="en-US" w:eastAsia="en-US" w:bidi="en-US"/>
    </w:rPr>
  </w:style>
  <w:style w:type="character" w:customStyle="1" w:styleId="Bodytext2">
    <w:name w:val="Body text (2)_"/>
    <w:basedOn w:val="DefaultParagraphFont"/>
    <w:rsid w:val="00197030"/>
    <w:rPr>
      <w:rFonts w:ascii="Calibri" w:eastAsia="Calibri" w:hAnsi="Calibri" w:cs="Calibri"/>
      <w:b w:val="0"/>
      <w:bCs w:val="0"/>
      <w:i w:val="0"/>
      <w:iCs w:val="0"/>
      <w:smallCaps w:val="0"/>
      <w:strike w:val="0"/>
      <w:sz w:val="22"/>
      <w:szCs w:val="22"/>
      <w:u w:val="none"/>
    </w:rPr>
  </w:style>
  <w:style w:type="character" w:customStyle="1" w:styleId="Bodytext2Bold">
    <w:name w:val="Body text (2) + Bold"/>
    <w:basedOn w:val="Bodytext2"/>
    <w:rsid w:val="00197030"/>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0">
    <w:name w:val="Body text (2)"/>
    <w:basedOn w:val="Bodytext2"/>
    <w:rsid w:val="00197030"/>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Bodytext4">
    <w:name w:val="Body text (4)_"/>
    <w:basedOn w:val="DefaultParagraphFont"/>
    <w:rsid w:val="00197030"/>
    <w:rPr>
      <w:rFonts w:ascii="Trebuchet MS" w:eastAsia="Trebuchet MS" w:hAnsi="Trebuchet MS" w:cs="Trebuchet MS"/>
      <w:b w:val="0"/>
      <w:bCs w:val="0"/>
      <w:i w:val="0"/>
      <w:iCs w:val="0"/>
      <w:smallCaps w:val="0"/>
      <w:strike w:val="0"/>
      <w:sz w:val="18"/>
      <w:szCs w:val="18"/>
      <w:u w:val="none"/>
    </w:rPr>
  </w:style>
  <w:style w:type="character" w:customStyle="1" w:styleId="Bodytext40">
    <w:name w:val="Body text (4)"/>
    <w:basedOn w:val="Bodytext4"/>
    <w:rsid w:val="00197030"/>
    <w:rPr>
      <w:rFonts w:ascii="Trebuchet MS" w:eastAsia="Trebuchet MS" w:hAnsi="Trebuchet MS" w:cs="Trebuchet MS"/>
      <w:b w:val="0"/>
      <w:bCs w:val="0"/>
      <w:i w:val="0"/>
      <w:iCs w:val="0"/>
      <w:smallCaps w:val="0"/>
      <w:strike w:val="0"/>
      <w:color w:val="000000"/>
      <w:spacing w:val="0"/>
      <w:w w:val="100"/>
      <w:position w:val="0"/>
      <w:sz w:val="18"/>
      <w:szCs w:val="18"/>
      <w:u w:val="none"/>
      <w:lang w:val="en-US" w:eastAsia="en-US" w:bidi="en-US"/>
    </w:rPr>
  </w:style>
  <w:style w:type="character" w:customStyle="1" w:styleId="Bodytext5">
    <w:name w:val="Body text (5)_"/>
    <w:basedOn w:val="DefaultParagraphFont"/>
    <w:link w:val="Bodytext50"/>
    <w:rsid w:val="00197030"/>
    <w:rPr>
      <w:rFonts w:ascii="Calibri" w:eastAsia="Calibri" w:hAnsi="Calibri" w:cs="Calibri"/>
      <w:i/>
      <w:iCs/>
      <w:sz w:val="17"/>
      <w:szCs w:val="17"/>
      <w:shd w:val="clear" w:color="auto" w:fill="FFFFFF"/>
    </w:rPr>
  </w:style>
  <w:style w:type="paragraph" w:customStyle="1" w:styleId="Bodytext50">
    <w:name w:val="Body text (5)"/>
    <w:basedOn w:val="Normal"/>
    <w:link w:val="Bodytext5"/>
    <w:rsid w:val="00197030"/>
    <w:pPr>
      <w:shd w:val="clear" w:color="auto" w:fill="FFFFFF"/>
      <w:spacing w:line="0" w:lineRule="atLeast"/>
      <w:jc w:val="center"/>
    </w:pPr>
    <w:rPr>
      <w:rFonts w:ascii="Calibri" w:eastAsia="Calibri" w:hAnsi="Calibri" w:cs="Calibri"/>
      <w:i/>
      <w:iCs/>
      <w:color w:val="auto"/>
      <w:sz w:val="17"/>
      <w:szCs w:val="17"/>
      <w:lang w:val="ru-RU" w:bidi="ar-SA"/>
    </w:rPr>
  </w:style>
  <w:style w:type="paragraph" w:styleId="BalloonText">
    <w:name w:val="Balloon Text"/>
    <w:basedOn w:val="Normal"/>
    <w:link w:val="BalloonTextChar"/>
    <w:uiPriority w:val="99"/>
    <w:semiHidden/>
    <w:unhideWhenUsed/>
    <w:rsid w:val="00197030"/>
    <w:rPr>
      <w:rFonts w:ascii="Tahoma" w:hAnsi="Tahoma" w:cs="Tahoma"/>
      <w:sz w:val="16"/>
      <w:szCs w:val="16"/>
    </w:rPr>
  </w:style>
  <w:style w:type="character" w:customStyle="1" w:styleId="BalloonTextChar">
    <w:name w:val="Balloon Text Char"/>
    <w:basedOn w:val="DefaultParagraphFont"/>
    <w:link w:val="BalloonText"/>
    <w:uiPriority w:val="99"/>
    <w:semiHidden/>
    <w:rsid w:val="00197030"/>
    <w:rPr>
      <w:rFonts w:ascii="Tahoma" w:eastAsia="Arial Unicode MS"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online.org/wp-content/uploads/2013/10/WOW-ESS-Prosecutors-Pocket-Guide.pdf" TargetMode="External"/><Relationship Id="rId3" Type="http://schemas.openxmlformats.org/officeDocument/2006/relationships/settings" Target="settings.xml"/><Relationship Id="rId7" Type="http://schemas.openxmlformats.org/officeDocument/2006/relationships/hyperlink" Target="%20%20%20http://www.wowonline.org/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wonline.org/wp-content/uploads/2013/10/WOW-ESS-Prosecutors-Pocket-Guide.pdf" TargetMode="External"/><Relationship Id="rId5" Type="http://schemas.openxmlformats.org/officeDocument/2006/relationships/hyperlink" Target="%20%20%20http://www.wowonline.org/w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Eleonora</dc:creator>
  <cp:lastModifiedBy>Diana</cp:lastModifiedBy>
  <cp:revision>2</cp:revision>
  <dcterms:created xsi:type="dcterms:W3CDTF">2017-11-28T07:40:00Z</dcterms:created>
  <dcterms:modified xsi:type="dcterms:W3CDTF">2017-11-28T07:40:00Z</dcterms:modified>
</cp:coreProperties>
</file>